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Indoor Kurling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